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B0C" w:rsidRPr="009F4B0C" w:rsidRDefault="009F4B0C" w:rsidP="009F4B0C">
      <w:pPr>
        <w:widowControl/>
        <w:pBdr>
          <w:bottom w:val="single" w:sz="6" w:space="8" w:color="E7E7EB"/>
        </w:pBdr>
        <w:spacing w:after="210"/>
        <w:outlineLvl w:val="1"/>
        <w:rPr>
          <w:rFonts w:ascii="宋体" w:eastAsia="宋体" w:hAnsi="宋体" w:cs="宋体"/>
          <w:kern w:val="0"/>
          <w:sz w:val="36"/>
          <w:szCs w:val="36"/>
        </w:rPr>
      </w:pPr>
      <w:r w:rsidRPr="009F4B0C">
        <w:rPr>
          <w:rFonts w:ascii="宋体" w:eastAsia="宋体" w:hAnsi="宋体" w:cs="宋体"/>
          <w:kern w:val="0"/>
          <w:sz w:val="36"/>
          <w:szCs w:val="36"/>
        </w:rPr>
        <w:t>张端鸿：第四轮高校学科评估材料填报注意要点</w:t>
      </w:r>
    </w:p>
    <w:p w:rsidR="009F4B0C" w:rsidRPr="009F4B0C" w:rsidRDefault="009F4B0C" w:rsidP="009F4B0C">
      <w:pPr>
        <w:widowControl/>
        <w:spacing w:line="300" w:lineRule="atLeast"/>
        <w:rPr>
          <w:rFonts w:ascii="宋体" w:eastAsia="宋体" w:hAnsi="宋体" w:cs="宋体"/>
          <w:kern w:val="0"/>
          <w:sz w:val="2"/>
          <w:szCs w:val="2"/>
        </w:rPr>
      </w:pPr>
      <w:r w:rsidRPr="009F4B0C">
        <w:rPr>
          <w:rFonts w:ascii="宋体" w:eastAsia="宋体" w:hAnsi="宋体" w:cs="宋体"/>
          <w:color w:val="8C8C8C"/>
          <w:kern w:val="0"/>
          <w:sz w:val="23"/>
        </w:rPr>
        <w:t>原创</w:t>
      </w:r>
      <w:r w:rsidRPr="009F4B0C">
        <w:rPr>
          <w:rFonts w:ascii="宋体" w:eastAsia="宋体" w:hAnsi="宋体" w:cs="宋体"/>
          <w:kern w:val="0"/>
          <w:sz w:val="2"/>
        </w:rPr>
        <w:t> </w:t>
      </w:r>
      <w:r w:rsidRPr="009F4B0C">
        <w:rPr>
          <w:rFonts w:ascii="宋体" w:eastAsia="宋体" w:hAnsi="宋体" w:cs="宋体"/>
          <w:color w:val="8C8C8C"/>
          <w:kern w:val="0"/>
          <w:sz w:val="24"/>
          <w:szCs w:val="24"/>
        </w:rPr>
        <w:t>2016-05-01</w:t>
      </w:r>
      <w:r w:rsidRPr="009F4B0C">
        <w:rPr>
          <w:rFonts w:ascii="宋体" w:eastAsia="宋体" w:hAnsi="宋体" w:cs="宋体"/>
          <w:kern w:val="0"/>
          <w:sz w:val="2"/>
        </w:rPr>
        <w:t> </w:t>
      </w:r>
      <w:r w:rsidRPr="009F4B0C">
        <w:rPr>
          <w:rFonts w:ascii="宋体" w:eastAsia="宋体" w:hAnsi="宋体" w:cs="宋体"/>
          <w:color w:val="8C8C8C"/>
          <w:kern w:val="0"/>
          <w:sz w:val="24"/>
          <w:szCs w:val="24"/>
        </w:rPr>
        <w:t>张端鸿</w:t>
      </w:r>
      <w:r w:rsidRPr="009F4B0C">
        <w:rPr>
          <w:rFonts w:ascii="宋体" w:eastAsia="宋体" w:hAnsi="宋体" w:cs="宋体"/>
          <w:kern w:val="0"/>
          <w:sz w:val="2"/>
        </w:rPr>
        <w:t> </w:t>
      </w:r>
      <w:hyperlink r:id="rId4" w:history="1">
        <w:r w:rsidRPr="009F4B0C">
          <w:rPr>
            <w:rFonts w:ascii="宋体" w:eastAsia="宋体" w:hAnsi="宋体" w:cs="宋体"/>
            <w:vanish/>
            <w:color w:val="607FA6"/>
            <w:kern w:val="0"/>
            <w:sz w:val="24"/>
            <w:szCs w:val="24"/>
          </w:rPr>
          <w:t>里瑟琦智库</w:t>
        </w:r>
      </w:hyperlink>
    </w:p>
    <w:p w:rsidR="009F4B0C" w:rsidRPr="009F4B0C" w:rsidRDefault="009F4B0C" w:rsidP="009F4B0C">
      <w:pPr>
        <w:widowControl/>
        <w:rPr>
          <w:rFonts w:ascii="宋体" w:eastAsia="宋体" w:hAnsi="宋体" w:cs="宋体"/>
          <w:kern w:val="0"/>
          <w:sz w:val="24"/>
          <w:szCs w:val="24"/>
        </w:rPr>
      </w:pPr>
      <w:r w:rsidRPr="009F4B0C">
        <w:rPr>
          <w:rFonts w:ascii="宋体" w:eastAsia="宋体" w:hAnsi="宋体" w:cs="宋体"/>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js_cover" o:spid="_x0000_i1025" type="#_x0000_t75" alt="" style="width:24pt;height:24pt"/>
        </w:pict>
      </w:r>
    </w:p>
    <w:p w:rsidR="009F4B0C" w:rsidRPr="009F4B0C" w:rsidRDefault="009F4B0C" w:rsidP="009F4B0C">
      <w:pPr>
        <w:widowControl/>
        <w:rPr>
          <w:rFonts w:ascii="宋体" w:eastAsia="宋体" w:hAnsi="宋体" w:cs="宋体"/>
          <w:color w:val="3E3E3E"/>
          <w:kern w:val="0"/>
          <w:sz w:val="24"/>
          <w:szCs w:val="24"/>
        </w:rPr>
      </w:pPr>
      <w:r w:rsidRPr="009F4B0C">
        <w:rPr>
          <w:rFonts w:ascii="宋体" w:eastAsia="宋体" w:hAnsi="宋体" w:cs="宋体"/>
          <w:b/>
          <w:bCs/>
          <w:color w:val="3E3E3E"/>
          <w:kern w:val="0"/>
          <w:sz w:val="24"/>
          <w:szCs w:val="24"/>
        </w:rPr>
        <w:t>点击标题下「蓝色微信名」可快速关注</w:t>
      </w:r>
    </w:p>
    <w:p w:rsidR="009F4B0C" w:rsidRPr="009F4B0C" w:rsidRDefault="009F4B0C" w:rsidP="009F4B0C">
      <w:pPr>
        <w:widowControl/>
        <w:shd w:val="clear" w:color="auto" w:fill="FFFFFF"/>
        <w:spacing w:line="384" w:lineRule="atLeast"/>
        <w:rPr>
          <w:rFonts w:ascii="微软雅黑" w:eastAsia="微软雅黑" w:hAnsi="微软雅黑" w:cs="宋体"/>
          <w:color w:val="3E3E3E"/>
          <w:kern w:val="0"/>
          <w:sz w:val="24"/>
          <w:szCs w:val="24"/>
        </w:rPr>
      </w:pPr>
    </w:p>
    <w:p w:rsidR="009F4B0C" w:rsidRPr="009F4B0C" w:rsidRDefault="009F4B0C" w:rsidP="009F4B0C">
      <w:pPr>
        <w:widowControl/>
        <w:rPr>
          <w:rFonts w:ascii="宋体" w:eastAsia="宋体" w:hAnsi="宋体" w:cs="宋体" w:hint="eastAsia"/>
          <w:color w:val="3E3E3E"/>
          <w:kern w:val="0"/>
          <w:sz w:val="24"/>
          <w:szCs w:val="24"/>
        </w:rPr>
      </w:pPr>
      <w:r w:rsidRPr="009F4B0C">
        <w:rPr>
          <w:rFonts w:ascii="宋体" w:eastAsia="宋体" w:hAnsi="宋体" w:cs="宋体"/>
          <w:b/>
          <w:bCs/>
          <w:color w:val="3E3E3E"/>
          <w:kern w:val="0"/>
          <w:sz w:val="24"/>
          <w:szCs w:val="24"/>
        </w:rPr>
        <w:t>【作者注】</w:t>
      </w:r>
    </w:p>
    <w:p w:rsidR="009F4B0C" w:rsidRPr="009F4B0C" w:rsidRDefault="009F4B0C" w:rsidP="009F4B0C">
      <w:pPr>
        <w:widowControl/>
        <w:spacing w:line="480" w:lineRule="atLeast"/>
        <w:rPr>
          <w:rFonts w:ascii="宋体" w:eastAsia="宋体" w:hAnsi="宋体" w:cs="宋体"/>
          <w:color w:val="3E3E3E"/>
          <w:kern w:val="0"/>
          <w:sz w:val="24"/>
          <w:szCs w:val="24"/>
        </w:rPr>
      </w:pPr>
      <w:r w:rsidRPr="009F4B0C">
        <w:rPr>
          <w:rFonts w:ascii="宋体" w:eastAsia="宋体" w:hAnsi="宋体" w:cs="宋体"/>
          <w:b/>
          <w:bCs/>
          <w:color w:val="3E3E3E"/>
          <w:kern w:val="0"/>
          <w:sz w:val="24"/>
          <w:szCs w:val="24"/>
        </w:rPr>
        <w:t>如果有一项评估不能回避，那么我至少希望各个高校之间所掌握的信息是对称的，本文是一个小小的努力。</w:t>
      </w:r>
    </w:p>
    <w:p w:rsidR="009F4B0C" w:rsidRPr="009F4B0C" w:rsidRDefault="009F4B0C" w:rsidP="009F4B0C">
      <w:pPr>
        <w:widowControl/>
        <w:shd w:val="clear" w:color="auto" w:fill="FFFFFF"/>
        <w:spacing w:line="465" w:lineRule="atLeast"/>
        <w:rPr>
          <w:rFonts w:ascii="微软雅黑" w:eastAsia="微软雅黑" w:hAnsi="微软雅黑" w:cs="宋体"/>
          <w:color w:val="3E3E3E"/>
          <w:kern w:val="0"/>
          <w:sz w:val="24"/>
          <w:szCs w:val="24"/>
        </w:rPr>
      </w:pP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1.本轮学科评估的结果将会对未来高校及相关学科获取公共资源投入产生至关重要的影响。一定要记住，它并非只是一个简单的、独立的水平评估，</w:t>
      </w:r>
      <w:r w:rsidRPr="009F4B0C">
        <w:rPr>
          <w:rFonts w:ascii="微软雅黑" w:eastAsia="微软雅黑" w:hAnsi="微软雅黑" w:cs="宋体" w:hint="eastAsia"/>
          <w:b/>
          <w:bCs/>
          <w:color w:val="3E3E3E"/>
          <w:kern w:val="0"/>
          <w:sz w:val="24"/>
          <w:szCs w:val="24"/>
        </w:rPr>
        <w:t>除了高度重视没有别的选择</w:t>
      </w:r>
      <w:r w:rsidRPr="009F4B0C">
        <w:rPr>
          <w:rFonts w:ascii="微软雅黑" w:eastAsia="微软雅黑" w:hAnsi="微软雅黑" w:cs="宋体" w:hint="eastAsia"/>
          <w:color w:val="3E3E3E"/>
          <w:kern w:val="0"/>
          <w:sz w:val="24"/>
          <w:szCs w:val="24"/>
        </w:rPr>
        <w:t>。在现有的条件下，需要尽可能充分根据评估指标体系的特点，配置好现有资源，尽可能充分展现各学科的实力。</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2.学科绑定参评的基本规则：同一学科门类中，本单位具有“博士一级”、“博士二级”或“硕士一级”授权的以及学科须同时申请参评（简称“绑定参评”）。换句话来说，同一门类内部的硕士一级以上学科只有两个选择，</w:t>
      </w:r>
      <w:r w:rsidRPr="009F4B0C">
        <w:rPr>
          <w:rFonts w:ascii="微软雅黑" w:eastAsia="微软雅黑" w:hAnsi="微软雅黑" w:cs="宋体" w:hint="eastAsia"/>
          <w:b/>
          <w:bCs/>
          <w:color w:val="3E3E3E"/>
          <w:kern w:val="0"/>
          <w:sz w:val="24"/>
          <w:szCs w:val="24"/>
        </w:rPr>
        <w:t>（1）参评；（2）被动态调整掉（俗称“砍掉”）。</w:t>
      </w:r>
      <w:r w:rsidRPr="009F4B0C">
        <w:rPr>
          <w:rFonts w:ascii="微软雅黑" w:eastAsia="微软雅黑" w:hAnsi="微软雅黑" w:cs="宋体" w:hint="eastAsia"/>
          <w:color w:val="3E3E3E"/>
          <w:kern w:val="0"/>
          <w:sz w:val="24"/>
          <w:szCs w:val="24"/>
        </w:rPr>
        <w:t>已经申请撤销，并在5月底上报省级学位办的学科可以不纳入绑定参评。</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lastRenderedPageBreak/>
        <w:t>3.在师资队伍板块，本次评价更强调师资队伍的水平、结构（由同行专家判断结构的合理程度）、国际化程度和可持续发展能力。一支老中青比例、梯队合理的师资队伍才能展现学科的可持续发展能力。所以在填报20-25名教师情况的时候，不能单单考虑教师的实力，要</w:t>
      </w:r>
      <w:r w:rsidRPr="009F4B0C">
        <w:rPr>
          <w:rFonts w:ascii="微软雅黑" w:eastAsia="微软雅黑" w:hAnsi="微软雅黑" w:cs="宋体" w:hint="eastAsia"/>
          <w:b/>
          <w:bCs/>
          <w:color w:val="3E3E3E"/>
          <w:kern w:val="0"/>
          <w:sz w:val="24"/>
          <w:szCs w:val="24"/>
        </w:rPr>
        <w:t>充分考虑结构问题</w:t>
      </w:r>
      <w:r w:rsidRPr="009F4B0C">
        <w:rPr>
          <w:rFonts w:ascii="微软雅黑" w:eastAsia="微软雅黑" w:hAnsi="微软雅黑" w:cs="宋体" w:hint="eastAsia"/>
          <w:color w:val="3E3E3E"/>
          <w:kern w:val="0"/>
          <w:sz w:val="24"/>
          <w:szCs w:val="24"/>
        </w:rPr>
        <w:t>。专任教师数将会设定上限，</w:t>
      </w:r>
      <w:r w:rsidRPr="009F4B0C">
        <w:rPr>
          <w:rFonts w:ascii="微软雅黑" w:eastAsia="微软雅黑" w:hAnsi="微软雅黑" w:cs="宋体" w:hint="eastAsia"/>
          <w:b/>
          <w:bCs/>
          <w:color w:val="3E3E3E"/>
          <w:kern w:val="0"/>
          <w:sz w:val="24"/>
          <w:szCs w:val="24"/>
        </w:rPr>
        <w:t>达到上限均为满分</w:t>
      </w:r>
      <w:r w:rsidRPr="009F4B0C">
        <w:rPr>
          <w:rFonts w:ascii="微软雅黑" w:eastAsia="微软雅黑" w:hAnsi="微软雅黑" w:cs="宋体" w:hint="eastAsia"/>
          <w:color w:val="3E3E3E"/>
          <w:kern w:val="0"/>
          <w:sz w:val="24"/>
          <w:szCs w:val="24"/>
        </w:rPr>
        <w:t>。</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4.在支撑平台方面。总体上说</w:t>
      </w:r>
      <w:r w:rsidRPr="009F4B0C">
        <w:rPr>
          <w:rFonts w:ascii="微软雅黑" w:eastAsia="微软雅黑" w:hAnsi="微软雅黑" w:cs="宋体" w:hint="eastAsia"/>
          <w:b/>
          <w:bCs/>
          <w:color w:val="3E3E3E"/>
          <w:kern w:val="0"/>
          <w:sz w:val="24"/>
          <w:szCs w:val="24"/>
        </w:rPr>
        <w:t>只计算省部级以上（含省部共建）</w:t>
      </w:r>
      <w:r w:rsidRPr="009F4B0C">
        <w:rPr>
          <w:rFonts w:ascii="微软雅黑" w:eastAsia="微软雅黑" w:hAnsi="微软雅黑" w:cs="宋体" w:hint="eastAsia"/>
          <w:color w:val="3E3E3E"/>
          <w:kern w:val="0"/>
          <w:sz w:val="24"/>
          <w:szCs w:val="24"/>
        </w:rPr>
        <w:t>的重点实验室、基地、中心，如国家实验室、重点实验室、重点人文社科基地、工程技术试验中心、工程实验中心、工程技术中心、国际联合实验室等。</w:t>
      </w:r>
      <w:r w:rsidRPr="009F4B0C">
        <w:rPr>
          <w:rFonts w:ascii="微软雅黑" w:eastAsia="微软雅黑" w:hAnsi="微软雅黑" w:cs="宋体" w:hint="eastAsia"/>
          <w:b/>
          <w:bCs/>
          <w:color w:val="3E3E3E"/>
          <w:kern w:val="0"/>
          <w:sz w:val="24"/>
          <w:szCs w:val="24"/>
        </w:rPr>
        <w:t>人文社会学科不再单列基地等指标</w:t>
      </w:r>
      <w:r w:rsidRPr="009F4B0C">
        <w:rPr>
          <w:rFonts w:ascii="微软雅黑" w:eastAsia="微软雅黑" w:hAnsi="微软雅黑" w:cs="宋体" w:hint="eastAsia"/>
          <w:color w:val="3E3E3E"/>
          <w:kern w:val="0"/>
          <w:sz w:val="24"/>
          <w:szCs w:val="24"/>
        </w:rPr>
        <w:t>，但可在学科声誉中一并体现。</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5. 本次评估指标体系中的“授予学位数”指学术博士学位和学术硕士学位，并</w:t>
      </w:r>
      <w:r w:rsidRPr="009F4B0C">
        <w:rPr>
          <w:rFonts w:ascii="微软雅黑" w:eastAsia="微软雅黑" w:hAnsi="微软雅黑" w:cs="宋体" w:hint="eastAsia"/>
          <w:b/>
          <w:bCs/>
          <w:color w:val="3E3E3E"/>
          <w:kern w:val="0"/>
          <w:sz w:val="24"/>
          <w:szCs w:val="24"/>
        </w:rPr>
        <w:t>不包含学士学位、专业硕士和专业博士学位数</w:t>
      </w:r>
      <w:r w:rsidRPr="009F4B0C">
        <w:rPr>
          <w:rFonts w:ascii="微软雅黑" w:eastAsia="微软雅黑" w:hAnsi="微软雅黑" w:cs="宋体" w:hint="eastAsia"/>
          <w:color w:val="3E3E3E"/>
          <w:kern w:val="0"/>
          <w:sz w:val="24"/>
          <w:szCs w:val="24"/>
        </w:rPr>
        <w:t>。</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6．人才培养板块，需要填写本学科15名代表性在校研究生，研究生毕业的20名有代表性成就的校友。需要注意的是，这些</w:t>
      </w:r>
      <w:r w:rsidRPr="009F4B0C">
        <w:rPr>
          <w:rFonts w:ascii="微软雅黑" w:eastAsia="微软雅黑" w:hAnsi="微软雅黑" w:cs="宋体" w:hint="eastAsia"/>
          <w:b/>
          <w:bCs/>
          <w:color w:val="3E3E3E"/>
          <w:kern w:val="0"/>
          <w:sz w:val="24"/>
          <w:szCs w:val="24"/>
        </w:rPr>
        <w:t>校友目前的职业发展要和学科简介中的人才培养目标相一致</w:t>
      </w:r>
      <w:r w:rsidRPr="009F4B0C">
        <w:rPr>
          <w:rFonts w:ascii="微软雅黑" w:eastAsia="微软雅黑" w:hAnsi="微软雅黑" w:cs="宋体" w:hint="eastAsia"/>
          <w:color w:val="3E3E3E"/>
          <w:kern w:val="0"/>
          <w:sz w:val="24"/>
          <w:szCs w:val="24"/>
        </w:rPr>
        <w:t>。学生交流指标方面，无论是本校学生出境交流，还是海外学生来华交流，都只计算90天以上的学生（含学位生）。</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lastRenderedPageBreak/>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7．评议参评材料的专家和参加学科声誉调查的专家是两拨人，学科声誉调查所覆盖的专家范围比较广。但是不管怎么样，如果即将参加评估的学科还是仅“注重特色”，却“不入主流”，那就很难获得这些专家的认同。此次评估的</w:t>
      </w:r>
      <w:r w:rsidRPr="009F4B0C">
        <w:rPr>
          <w:rFonts w:ascii="微软雅黑" w:eastAsia="微软雅黑" w:hAnsi="微软雅黑" w:cs="宋体" w:hint="eastAsia"/>
          <w:b/>
          <w:bCs/>
          <w:color w:val="3E3E3E"/>
          <w:kern w:val="0"/>
          <w:sz w:val="24"/>
          <w:szCs w:val="24"/>
        </w:rPr>
        <w:t>社会服务贡献和学科声誉都将通过同行专家打分的形式采集数据</w:t>
      </w:r>
      <w:r w:rsidRPr="009F4B0C">
        <w:rPr>
          <w:rFonts w:ascii="微软雅黑" w:eastAsia="微软雅黑" w:hAnsi="微软雅黑" w:cs="宋体" w:hint="eastAsia"/>
          <w:color w:val="3E3E3E"/>
          <w:kern w:val="0"/>
          <w:sz w:val="24"/>
          <w:szCs w:val="24"/>
        </w:rPr>
        <w:t>。临时“抱佛脚”，看看有没有公关途径可以帮忙。</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8．填写的博导必须在过去四年中实际指导博士生，</w:t>
      </w:r>
      <w:r w:rsidRPr="009F4B0C">
        <w:rPr>
          <w:rFonts w:ascii="微软雅黑" w:eastAsia="微软雅黑" w:hAnsi="微软雅黑" w:cs="宋体" w:hint="eastAsia"/>
          <w:b/>
          <w:bCs/>
          <w:color w:val="3E3E3E"/>
          <w:kern w:val="0"/>
          <w:sz w:val="24"/>
          <w:szCs w:val="24"/>
        </w:rPr>
        <w:t>仅有导师资格或2015年底时无在读博士生的教师不能计算进博导数</w:t>
      </w:r>
      <w:r w:rsidRPr="009F4B0C">
        <w:rPr>
          <w:rFonts w:ascii="微软雅黑" w:eastAsia="微软雅黑" w:hAnsi="微软雅黑" w:cs="宋体" w:hint="eastAsia"/>
          <w:color w:val="3E3E3E"/>
          <w:kern w:val="0"/>
          <w:sz w:val="24"/>
          <w:szCs w:val="24"/>
        </w:rPr>
        <w:t>。早就预先启动了跨学科招收博士生的学校，以及开放了讲师、副教授可以担任博导的高校可谓未雨绸缪。</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9．科研成果的署名按照单位填写（俗称“不跟人走”），即2012年1月1日-2015年12月31日期间以某大学发表（</w:t>
      </w:r>
      <w:r w:rsidRPr="009F4B0C">
        <w:rPr>
          <w:rFonts w:ascii="微软雅黑" w:eastAsia="微软雅黑" w:hAnsi="微软雅黑" w:cs="宋体" w:hint="eastAsia"/>
          <w:b/>
          <w:bCs/>
          <w:color w:val="3E3E3E"/>
          <w:kern w:val="0"/>
          <w:sz w:val="24"/>
          <w:szCs w:val="24"/>
        </w:rPr>
        <w:t>含调离科研人员</w:t>
      </w:r>
      <w:r w:rsidRPr="009F4B0C">
        <w:rPr>
          <w:rFonts w:ascii="微软雅黑" w:eastAsia="微软雅黑" w:hAnsi="微软雅黑" w:cs="宋体" w:hint="eastAsia"/>
          <w:color w:val="3E3E3E"/>
          <w:kern w:val="0"/>
          <w:sz w:val="24"/>
          <w:szCs w:val="24"/>
        </w:rPr>
        <w:t>）的成果，都可以作为填报素材。所以，必须提醒各个学科，以及成果梳理的工作人员不能把这类成果给漏了。此外，为了鼓励跨学科，同一科研人员的科研成果可以</w:t>
      </w:r>
      <w:r w:rsidRPr="009F4B0C">
        <w:rPr>
          <w:rFonts w:ascii="微软雅黑" w:eastAsia="微软雅黑" w:hAnsi="微软雅黑" w:cs="宋体" w:hint="eastAsia"/>
          <w:b/>
          <w:bCs/>
          <w:color w:val="3E3E3E"/>
          <w:kern w:val="0"/>
          <w:sz w:val="24"/>
          <w:szCs w:val="24"/>
        </w:rPr>
        <w:t>在其所跨学科之间进行分配</w:t>
      </w:r>
      <w:r w:rsidRPr="009F4B0C">
        <w:rPr>
          <w:rFonts w:ascii="微软雅黑" w:eastAsia="微软雅黑" w:hAnsi="微软雅黑" w:cs="宋体" w:hint="eastAsia"/>
          <w:color w:val="3E3E3E"/>
          <w:kern w:val="0"/>
          <w:sz w:val="24"/>
          <w:szCs w:val="24"/>
        </w:rPr>
        <w:t>。</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lastRenderedPageBreak/>
        <w:t>10. 医学、理工、农学三大学科门类的学术论文质量指标选取了扩展版ESI高被引论文（统计至前3%）作为一个重要指标。相关数据将通过汤森路透集团的Incites数据库进行采集。A类期刊是由汤森路透、爱思唯尔、CNKI、CSSCI、CSCD根据科学计量学方法遴选产生初步名单，面向全国万余名博导进行网络投票，最终由相关学科评议组进行投票确定的。最好请本校的图书馆系统梳理一下各学科相关论文的详细情况，由学校统筹（避免学科之间的信息壁垒），</w:t>
      </w:r>
      <w:r w:rsidRPr="009F4B0C">
        <w:rPr>
          <w:rFonts w:ascii="微软雅黑" w:eastAsia="微软雅黑" w:hAnsi="微软雅黑" w:cs="宋体" w:hint="eastAsia"/>
          <w:b/>
          <w:bCs/>
          <w:color w:val="3E3E3E"/>
          <w:kern w:val="0"/>
          <w:sz w:val="24"/>
          <w:szCs w:val="24"/>
        </w:rPr>
        <w:t>在各个学科之间做好配置</w:t>
      </w:r>
      <w:r w:rsidRPr="009F4B0C">
        <w:rPr>
          <w:rFonts w:ascii="微软雅黑" w:eastAsia="微软雅黑" w:hAnsi="微软雅黑" w:cs="宋体" w:hint="eastAsia"/>
          <w:color w:val="3E3E3E"/>
          <w:kern w:val="0"/>
          <w:sz w:val="24"/>
          <w:szCs w:val="24"/>
        </w:rPr>
        <w:t>。需要注意的是，A类期刊仅适用于本次评估，并非教育部颁布的A类期刊目录，并不必然适用于未来各种类型的科研成果评价。</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11.人文社科学科的著作成果，仅统计</w:t>
      </w:r>
      <w:r w:rsidRPr="009F4B0C">
        <w:rPr>
          <w:rFonts w:ascii="微软雅黑" w:eastAsia="微软雅黑" w:hAnsi="微软雅黑" w:cs="宋体" w:hint="eastAsia"/>
          <w:b/>
          <w:bCs/>
          <w:color w:val="3E3E3E"/>
          <w:kern w:val="0"/>
          <w:sz w:val="24"/>
          <w:szCs w:val="24"/>
        </w:rPr>
        <w:t>近四年出版的学术“著”作</w:t>
      </w:r>
      <w:r w:rsidRPr="009F4B0C">
        <w:rPr>
          <w:rFonts w:ascii="微软雅黑" w:eastAsia="微软雅黑" w:hAnsi="微软雅黑" w:cs="宋体" w:hint="eastAsia"/>
          <w:color w:val="3E3E3E"/>
          <w:kern w:val="0"/>
          <w:sz w:val="24"/>
          <w:szCs w:val="24"/>
        </w:rPr>
        <w:t>，译著、编著、教学用书不计入内，入选国家社科文库的或被翻译为外文的专著加分。</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12. 为了落实教育部加强教材建设的意见，本次学科评估将教材编写纳入了科研成果。不过，只有</w:t>
      </w:r>
      <w:r w:rsidRPr="009F4B0C">
        <w:rPr>
          <w:rFonts w:ascii="微软雅黑" w:eastAsia="微软雅黑" w:hAnsi="微软雅黑" w:cs="宋体" w:hint="eastAsia"/>
          <w:b/>
          <w:bCs/>
          <w:color w:val="3E3E3E"/>
          <w:kern w:val="0"/>
          <w:sz w:val="24"/>
          <w:szCs w:val="24"/>
        </w:rPr>
        <w:t>近四年出版的“十二五”国家级规划教材</w:t>
      </w:r>
      <w:r w:rsidRPr="009F4B0C">
        <w:rPr>
          <w:rFonts w:ascii="微软雅黑" w:eastAsia="微软雅黑" w:hAnsi="微软雅黑" w:cs="宋体" w:hint="eastAsia"/>
          <w:color w:val="3E3E3E"/>
          <w:kern w:val="0"/>
          <w:sz w:val="24"/>
          <w:szCs w:val="24"/>
        </w:rPr>
        <w:t>才能纳入统计。</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13. 成果转化方面，理工、农学和医学统计近四年获得授权并已转化或应用的发明专利与国防专利；农学和医学还会统计近四年经国家审定通过的农作物新品种、林木良种、畜禽新品种；医学还会统计近四年获批的新农药和新兽药。</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lastRenderedPageBreak/>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14.在科研获奖方面，理工农医等学科只能填报国家自然科学奖、技术发明奖、科技进步奖，省级科研获奖（有详细目录），中华农业科技奖、环境保护科学技术奖、国土资源科学技术奖、中国专利奖、何梁何利科技奖、梁希林业科学技术奖、中华医学科技奖、中华中医药学会科学技术奖等奖项。人文社科学科只能教育部高校科研成果奖、省级科研获奖（有详细目录），以及孙冶方经济学奖、安全生产科技成果奖。艺术学科只能填报代表性艺术创作与表演成果。建筑、城乡规划和风景园林可以填报国内外建筑设计获奖。</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15.科研项目一般只能填写牵头或主持的单位，但是863、973的二级课题可以填报。基本原则是，由牵头单位划过来的项目不能填报，必须直接和国家科研基金部门签署的项目才能纳入填报范围。此次不仅考察学科的科研项目总量，</w:t>
      </w:r>
      <w:r w:rsidRPr="009F4B0C">
        <w:rPr>
          <w:rFonts w:ascii="微软雅黑" w:eastAsia="微软雅黑" w:hAnsi="微软雅黑" w:cs="宋体" w:hint="eastAsia"/>
          <w:b/>
          <w:bCs/>
          <w:color w:val="3E3E3E"/>
          <w:kern w:val="0"/>
          <w:sz w:val="24"/>
          <w:szCs w:val="24"/>
        </w:rPr>
        <w:t>也会考察科研项目的人均情况</w:t>
      </w:r>
      <w:r w:rsidRPr="009F4B0C">
        <w:rPr>
          <w:rFonts w:ascii="微软雅黑" w:eastAsia="微软雅黑" w:hAnsi="微软雅黑" w:cs="宋体" w:hint="eastAsia"/>
          <w:color w:val="3E3E3E"/>
          <w:kern w:val="0"/>
          <w:sz w:val="24"/>
          <w:szCs w:val="24"/>
        </w:rPr>
        <w:t>。</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16.医院的数据，只能统计</w:t>
      </w:r>
      <w:r w:rsidRPr="009F4B0C">
        <w:rPr>
          <w:rFonts w:ascii="微软雅黑" w:eastAsia="微软雅黑" w:hAnsi="微软雅黑" w:cs="宋体" w:hint="eastAsia"/>
          <w:b/>
          <w:bCs/>
          <w:color w:val="3E3E3E"/>
          <w:kern w:val="0"/>
          <w:sz w:val="24"/>
          <w:szCs w:val="24"/>
        </w:rPr>
        <w:t>直属的附属医院</w:t>
      </w:r>
      <w:r w:rsidRPr="009F4B0C">
        <w:rPr>
          <w:rFonts w:ascii="微软雅黑" w:eastAsia="微软雅黑" w:hAnsi="微软雅黑" w:cs="宋体" w:hint="eastAsia"/>
          <w:color w:val="3E3E3E"/>
          <w:kern w:val="0"/>
          <w:sz w:val="24"/>
          <w:szCs w:val="24"/>
        </w:rPr>
        <w:t>。例如，复旦大学一共有10家附属医院：中山医院、华山医院、儿科医院、妇产科医院、眼耳鼻喉科医院、肿瘤医院、金山医院、上海市第五人民医院、上海市公共卫生中心、华东医院。但是其中直属的附属医院只有前面的六家。</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lastRenderedPageBreak/>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17.学科声誉包括学术声誉和学术道德等方面。专家参考《学科简介》对学科的学术影响力和学术道德情况进行评价。在专家组成方面，将</w:t>
      </w:r>
      <w:r w:rsidRPr="009F4B0C">
        <w:rPr>
          <w:rFonts w:ascii="微软雅黑" w:eastAsia="微软雅黑" w:hAnsi="微软雅黑" w:cs="宋体" w:hint="eastAsia"/>
          <w:b/>
          <w:bCs/>
          <w:color w:val="3E3E3E"/>
          <w:kern w:val="0"/>
          <w:sz w:val="24"/>
          <w:szCs w:val="24"/>
        </w:rPr>
        <w:t>适当提升行业企业专家比例</w:t>
      </w:r>
      <w:r w:rsidRPr="009F4B0C">
        <w:rPr>
          <w:rFonts w:ascii="微软雅黑" w:eastAsia="微软雅黑" w:hAnsi="微软雅黑" w:cs="宋体" w:hint="eastAsia"/>
          <w:color w:val="3E3E3E"/>
          <w:kern w:val="0"/>
          <w:sz w:val="24"/>
          <w:szCs w:val="24"/>
        </w:rPr>
        <w:t>，并在理工科部分学科</w:t>
      </w:r>
      <w:r w:rsidRPr="009F4B0C">
        <w:rPr>
          <w:rFonts w:ascii="微软雅黑" w:eastAsia="微软雅黑" w:hAnsi="微软雅黑" w:cs="宋体" w:hint="eastAsia"/>
          <w:b/>
          <w:bCs/>
          <w:color w:val="3E3E3E"/>
          <w:kern w:val="0"/>
          <w:sz w:val="24"/>
          <w:szCs w:val="24"/>
        </w:rPr>
        <w:t>试点引入海外专家评价学科的国际声誉</w:t>
      </w:r>
      <w:r w:rsidRPr="009F4B0C">
        <w:rPr>
          <w:rFonts w:ascii="微软雅黑" w:eastAsia="微软雅黑" w:hAnsi="微软雅黑" w:cs="宋体" w:hint="eastAsia"/>
          <w:color w:val="3E3E3E"/>
          <w:kern w:val="0"/>
          <w:sz w:val="24"/>
          <w:szCs w:val="24"/>
        </w:rPr>
        <w:t>。</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18. 本轮评估将于今年年底完成评估并发布结果。后期将会做好评估结果的数据服务。为政府部门、学位授予单位和参评学科提供《学科发展水平质量监测报告》，基本原则是</w:t>
      </w:r>
      <w:r w:rsidRPr="009F4B0C">
        <w:rPr>
          <w:rFonts w:ascii="微软雅黑" w:eastAsia="微软雅黑" w:hAnsi="微软雅黑" w:cs="宋体" w:hint="eastAsia"/>
          <w:b/>
          <w:bCs/>
          <w:color w:val="3E3E3E"/>
          <w:kern w:val="0"/>
          <w:sz w:val="24"/>
          <w:szCs w:val="24"/>
        </w:rPr>
        <w:t>“自愿定制、有偿服务”</w:t>
      </w:r>
      <w:r w:rsidRPr="009F4B0C">
        <w:rPr>
          <w:rFonts w:ascii="微软雅黑" w:eastAsia="微软雅黑" w:hAnsi="微软雅黑" w:cs="宋体" w:hint="eastAsia"/>
          <w:color w:val="3E3E3E"/>
          <w:kern w:val="0"/>
          <w:sz w:val="24"/>
          <w:szCs w:val="24"/>
        </w:rPr>
        <w:t>。</w:t>
      </w:r>
    </w:p>
    <w:p w:rsidR="009F4B0C" w:rsidRPr="009F4B0C" w:rsidRDefault="009F4B0C" w:rsidP="009F4B0C">
      <w:pPr>
        <w:widowControl/>
        <w:shd w:val="clear" w:color="auto" w:fill="FFFFFF"/>
        <w:spacing w:line="465" w:lineRule="atLeast"/>
        <w:jc w:val="both"/>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br/>
      </w:r>
    </w:p>
    <w:p w:rsidR="009F4B0C" w:rsidRPr="009F4B0C" w:rsidRDefault="009F4B0C" w:rsidP="009F4B0C">
      <w:pPr>
        <w:widowControl/>
        <w:shd w:val="clear" w:color="auto" w:fill="FFFFFF"/>
        <w:spacing w:line="465" w:lineRule="atLeast"/>
        <w:rPr>
          <w:rFonts w:ascii="微软雅黑" w:eastAsia="微软雅黑" w:hAnsi="微软雅黑" w:cs="宋体" w:hint="eastAsia"/>
          <w:color w:val="3E3E3E"/>
          <w:kern w:val="0"/>
          <w:sz w:val="24"/>
          <w:szCs w:val="24"/>
        </w:rPr>
      </w:pPr>
      <w:r w:rsidRPr="009F4B0C">
        <w:rPr>
          <w:rFonts w:ascii="微软雅黑" w:eastAsia="微软雅黑" w:hAnsi="微软雅黑" w:cs="宋体" w:hint="eastAsia"/>
          <w:color w:val="3E3E3E"/>
          <w:kern w:val="0"/>
          <w:sz w:val="24"/>
          <w:szCs w:val="24"/>
        </w:rPr>
        <w:t>（作者：张端鸿，同济大学高等教育研究所。综合了会议精神、文件精神和多位同行观点，欢迎批评指正，以便逐步更新完善，为参评单位提供必要的参考。）</w:t>
      </w:r>
    </w:p>
    <w:p w:rsidR="00D05B1F" w:rsidRDefault="009F4B0C"/>
    <w:sectPr w:rsidR="00D05B1F" w:rsidSect="00EB0D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F4B0C"/>
    <w:rsid w:val="006240D3"/>
    <w:rsid w:val="00960F46"/>
    <w:rsid w:val="00962DBD"/>
    <w:rsid w:val="009F4B0C"/>
    <w:rsid w:val="00AB5C88"/>
    <w:rsid w:val="00D92C16"/>
    <w:rsid w:val="00E50BE4"/>
    <w:rsid w:val="00EB0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C3"/>
    <w:pPr>
      <w:widowControl w:val="0"/>
    </w:pPr>
  </w:style>
  <w:style w:type="paragraph" w:styleId="2">
    <w:name w:val="heading 2"/>
    <w:basedOn w:val="a"/>
    <w:link w:val="2Char"/>
    <w:uiPriority w:val="9"/>
    <w:qFormat/>
    <w:rsid w:val="009F4B0C"/>
    <w:pPr>
      <w:widowControl/>
      <w:spacing w:before="100" w:beforeAutospacing="1" w:after="100" w:afterAutospacing="1"/>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F4B0C"/>
    <w:rPr>
      <w:rFonts w:ascii="宋体" w:eastAsia="宋体" w:hAnsi="宋体" w:cs="宋体"/>
      <w:b/>
      <w:bCs/>
      <w:kern w:val="0"/>
      <w:sz w:val="36"/>
      <w:szCs w:val="36"/>
    </w:rPr>
  </w:style>
  <w:style w:type="character" w:customStyle="1" w:styleId="richmediameta">
    <w:name w:val="rich_media_meta"/>
    <w:basedOn w:val="a0"/>
    <w:rsid w:val="009F4B0C"/>
  </w:style>
  <w:style w:type="character" w:customStyle="1" w:styleId="apple-converted-space">
    <w:name w:val="apple-converted-space"/>
    <w:basedOn w:val="a0"/>
    <w:rsid w:val="009F4B0C"/>
  </w:style>
  <w:style w:type="character" w:styleId="a3">
    <w:name w:val="Emphasis"/>
    <w:basedOn w:val="a0"/>
    <w:uiPriority w:val="20"/>
    <w:qFormat/>
    <w:rsid w:val="009F4B0C"/>
    <w:rPr>
      <w:i/>
      <w:iCs/>
    </w:rPr>
  </w:style>
  <w:style w:type="character" w:styleId="a4">
    <w:name w:val="Hyperlink"/>
    <w:basedOn w:val="a0"/>
    <w:uiPriority w:val="99"/>
    <w:semiHidden/>
    <w:unhideWhenUsed/>
    <w:rsid w:val="009F4B0C"/>
    <w:rPr>
      <w:color w:val="0000FF"/>
      <w:u w:val="single"/>
    </w:rPr>
  </w:style>
  <w:style w:type="character" w:styleId="a5">
    <w:name w:val="Strong"/>
    <w:basedOn w:val="a0"/>
    <w:uiPriority w:val="22"/>
    <w:qFormat/>
    <w:rsid w:val="009F4B0C"/>
    <w:rPr>
      <w:b/>
      <w:bCs/>
    </w:rPr>
  </w:style>
  <w:style w:type="paragraph" w:styleId="a6">
    <w:name w:val="Normal (Web)"/>
    <w:basedOn w:val="a"/>
    <w:uiPriority w:val="99"/>
    <w:semiHidden/>
    <w:unhideWhenUsed/>
    <w:rsid w:val="009F4B0C"/>
    <w:pPr>
      <w:widowControl/>
      <w:spacing w:before="100" w:beforeAutospacing="1" w:after="100" w:afterAutospacing="1"/>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02094508">
      <w:bodyDiv w:val="1"/>
      <w:marLeft w:val="0"/>
      <w:marRight w:val="0"/>
      <w:marTop w:val="0"/>
      <w:marBottom w:val="0"/>
      <w:divBdr>
        <w:top w:val="none" w:sz="0" w:space="0" w:color="auto"/>
        <w:left w:val="none" w:sz="0" w:space="0" w:color="auto"/>
        <w:bottom w:val="none" w:sz="0" w:space="0" w:color="auto"/>
        <w:right w:val="none" w:sz="0" w:space="0" w:color="auto"/>
      </w:divBdr>
      <w:divsChild>
        <w:div w:id="1938514689">
          <w:marLeft w:val="0"/>
          <w:marRight w:val="0"/>
          <w:marTop w:val="0"/>
          <w:marBottom w:val="270"/>
          <w:divBdr>
            <w:top w:val="none" w:sz="0" w:space="0" w:color="auto"/>
            <w:left w:val="none" w:sz="0" w:space="0" w:color="auto"/>
            <w:bottom w:val="none" w:sz="0" w:space="0" w:color="auto"/>
            <w:right w:val="none" w:sz="0" w:space="0" w:color="auto"/>
          </w:divBdr>
        </w:div>
        <w:div w:id="1398359887">
          <w:marLeft w:val="0"/>
          <w:marRight w:val="0"/>
          <w:marTop w:val="0"/>
          <w:marBottom w:val="90"/>
          <w:divBdr>
            <w:top w:val="none" w:sz="0" w:space="0" w:color="auto"/>
            <w:left w:val="none" w:sz="0" w:space="0" w:color="auto"/>
            <w:bottom w:val="none" w:sz="0" w:space="0" w:color="auto"/>
            <w:right w:val="none" w:sz="0" w:space="0" w:color="auto"/>
          </w:divBdr>
        </w:div>
        <w:div w:id="1189025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2016-05-02T10:15:00Z</dcterms:created>
  <dcterms:modified xsi:type="dcterms:W3CDTF">2016-05-02T10:15:00Z</dcterms:modified>
</cp:coreProperties>
</file>